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B209AE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4C6173">
        <w:rPr>
          <w:sz w:val="28"/>
          <w:szCs w:val="28"/>
        </w:rPr>
        <w:t>4</w:t>
      </w:r>
      <w:r>
        <w:rPr>
          <w:sz w:val="28"/>
          <w:szCs w:val="28"/>
        </w:rPr>
        <w:t>.2017  года                 с. Большое Ремонтно</w:t>
      </w:r>
      <w:r w:rsidR="008574B1">
        <w:rPr>
          <w:sz w:val="28"/>
          <w:szCs w:val="28"/>
        </w:rPr>
        <w:t xml:space="preserve">е                             </w:t>
      </w:r>
      <w:r>
        <w:rPr>
          <w:sz w:val="28"/>
          <w:szCs w:val="28"/>
        </w:rPr>
        <w:t xml:space="preserve">  №   </w:t>
      </w:r>
      <w:r w:rsidR="004C6173">
        <w:rPr>
          <w:sz w:val="28"/>
          <w:szCs w:val="28"/>
        </w:rPr>
        <w:t>1</w:t>
      </w:r>
      <w:r w:rsidR="00B209AE">
        <w:rPr>
          <w:sz w:val="28"/>
          <w:szCs w:val="28"/>
        </w:rPr>
        <w:t>4</w:t>
      </w:r>
      <w:r w:rsidR="008574B1">
        <w:rPr>
          <w:sz w:val="28"/>
          <w:szCs w:val="28"/>
        </w:rPr>
        <w:t>а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675151" w:rsidRDefault="00675151" w:rsidP="00865676">
      <w:pPr>
        <w:jc w:val="center"/>
        <w:rPr>
          <w:sz w:val="28"/>
          <w:szCs w:val="28"/>
        </w:rPr>
      </w:pPr>
    </w:p>
    <w:p w:rsidR="00B209AE" w:rsidRDefault="00B209AE" w:rsidP="00B209AE">
      <w:pPr>
        <w:pStyle w:val="afb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инструкции по проведению </w:t>
      </w:r>
    </w:p>
    <w:p w:rsidR="00B209AE" w:rsidRDefault="00B209AE" w:rsidP="00B209AE">
      <w:pPr>
        <w:pStyle w:val="afb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Калининского сельского поселения</w:t>
      </w:r>
    </w:p>
    <w:p w:rsidR="00B209AE" w:rsidRDefault="00B209AE" w:rsidP="00B209AE">
      <w:pPr>
        <w:pStyle w:val="afb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тестирования в целях определения соответствия гражданина</w:t>
      </w:r>
    </w:p>
    <w:p w:rsidR="00B209AE" w:rsidRDefault="00B209AE" w:rsidP="00B209AE">
      <w:pPr>
        <w:pStyle w:val="afb"/>
        <w:spacing w:before="0" w:after="0"/>
        <w:jc w:val="lef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базовым квалификационным требованиям</w:t>
      </w:r>
    </w:p>
    <w:p w:rsidR="00B209AE" w:rsidRDefault="00B209AE" w:rsidP="00B209AE">
      <w:pPr>
        <w:rPr>
          <w:sz w:val="24"/>
          <w:szCs w:val="24"/>
        </w:rPr>
      </w:pPr>
    </w:p>
    <w:p w:rsidR="00B209AE" w:rsidRDefault="00B209AE" w:rsidP="00B209AE">
      <w:pPr>
        <w:rPr>
          <w:sz w:val="24"/>
          <w:szCs w:val="24"/>
        </w:rPr>
      </w:pPr>
    </w:p>
    <w:p w:rsidR="00B209AE" w:rsidRDefault="00B209AE" w:rsidP="00B209A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02.03.2007 №25-ФЗ  «О муниципальной службе в Российской Федерации» </w:t>
      </w:r>
    </w:p>
    <w:p w:rsidR="00B209AE" w:rsidRDefault="00B209AE" w:rsidP="00B209AE">
      <w:pPr>
        <w:jc w:val="both"/>
        <w:rPr>
          <w:b/>
          <w:sz w:val="24"/>
          <w:szCs w:val="24"/>
        </w:rPr>
      </w:pPr>
    </w:p>
    <w:p w:rsidR="00B209AE" w:rsidRDefault="00B209AE" w:rsidP="00B209AE">
      <w:pPr>
        <w:pStyle w:val="afb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 Утвердить инструкцию по проведению в Администрации Калининского сельского поселения тестирования в целях определения соответствия гражданина  Российской Федерации базовым квалификационным требованиям, согласно приложению к настоящему распоряжению.</w:t>
      </w:r>
    </w:p>
    <w:p w:rsidR="00B209AE" w:rsidRDefault="00B209AE" w:rsidP="00B209AE">
      <w:pPr>
        <w:ind w:firstLine="709"/>
        <w:jc w:val="both"/>
        <w:rPr>
          <w:sz w:val="24"/>
          <w:szCs w:val="24"/>
        </w:rPr>
      </w:pPr>
    </w:p>
    <w:p w:rsidR="00B209AE" w:rsidRDefault="00B209AE" w:rsidP="00B209AE">
      <w:pPr>
        <w:pStyle w:val="afc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распоряжения оставляю за собой.</w:t>
      </w:r>
    </w:p>
    <w:p w:rsidR="00B209AE" w:rsidRDefault="00B209AE" w:rsidP="00B209AE">
      <w:pPr>
        <w:jc w:val="both"/>
        <w:rPr>
          <w:sz w:val="24"/>
          <w:szCs w:val="24"/>
        </w:rPr>
      </w:pPr>
    </w:p>
    <w:p w:rsidR="00B209AE" w:rsidRDefault="00B209AE" w:rsidP="00B209AE">
      <w:pPr>
        <w:jc w:val="both"/>
        <w:rPr>
          <w:sz w:val="24"/>
          <w:szCs w:val="24"/>
        </w:rPr>
      </w:pPr>
      <w:bookmarkStart w:id="0" w:name="_GoBack"/>
      <w:bookmarkEnd w:id="0"/>
    </w:p>
    <w:p w:rsidR="00B209AE" w:rsidRDefault="00B209AE" w:rsidP="00B209AE">
      <w:pPr>
        <w:jc w:val="both"/>
        <w:rPr>
          <w:sz w:val="24"/>
          <w:szCs w:val="24"/>
        </w:rPr>
      </w:pPr>
    </w:p>
    <w:p w:rsidR="00B209AE" w:rsidRDefault="00B209AE" w:rsidP="00B209AE">
      <w:pPr>
        <w:jc w:val="both"/>
        <w:rPr>
          <w:sz w:val="24"/>
          <w:szCs w:val="24"/>
        </w:rPr>
      </w:pPr>
    </w:p>
    <w:p w:rsidR="003B73F0" w:rsidRDefault="00B209AE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3B73F0">
        <w:rPr>
          <w:b/>
          <w:sz w:val="24"/>
          <w:szCs w:val="24"/>
        </w:rPr>
        <w:t xml:space="preserve">Администрации </w:t>
      </w:r>
    </w:p>
    <w:p w:rsidR="00B209AE" w:rsidRDefault="00B209AE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3B73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сельского поселения         </w:t>
      </w:r>
      <w:r w:rsidR="003B73F0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</w:t>
      </w:r>
      <w:r w:rsidR="003B73F0">
        <w:rPr>
          <w:b/>
          <w:sz w:val="24"/>
          <w:szCs w:val="24"/>
        </w:rPr>
        <w:t>Г. 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</w:pPr>
    </w:p>
    <w:p w:rsidR="00B209AE" w:rsidRDefault="0073669C" w:rsidP="00B209AE">
      <w:pPr>
        <w:jc w:val="both"/>
        <w:rPr>
          <w:i/>
          <w:sz w:val="18"/>
          <w:szCs w:val="18"/>
        </w:rPr>
      </w:pPr>
      <w:r w:rsidRPr="0073669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4pt;margin-top:-13.95pt;width:478.4pt;height:59.25pt;z-index:251660288;mso-wrap-distance-left:0;mso-position-horizontal-relative:margin" stroked="f">
            <v:fill opacity="0" color2="black"/>
            <v:textbox style="mso-next-textbox:#_x0000_s103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32"/>
                    <w:gridCol w:w="4838"/>
                  </w:tblGrid>
                  <w:tr w:rsidR="00B209AE">
                    <w:tc>
                      <w:tcPr>
                        <w:tcW w:w="4732" w:type="dxa"/>
                        <w:shd w:val="clear" w:color="auto" w:fill="auto"/>
                      </w:tcPr>
                      <w:p w:rsidR="00B209AE" w:rsidRDefault="00B209AE">
                        <w:pPr>
                          <w:snapToGrid w:val="0"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4838" w:type="dxa"/>
                        <w:shd w:val="clear" w:color="auto" w:fill="auto"/>
                      </w:tcPr>
                      <w:p w:rsidR="00B209AE" w:rsidRDefault="00B209AE">
                        <w:pPr>
                          <w:jc w:val="right"/>
                          <w:rPr>
                            <w:rFonts w:eastAsia="Calibri"/>
                            <w:spacing w:val="-1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sz w:val="21"/>
                            <w:szCs w:val="21"/>
                          </w:rPr>
                          <w:t>Приложение</w:t>
                        </w:r>
                      </w:p>
                      <w:p w:rsidR="00B209AE" w:rsidRDefault="00B209AE">
                        <w:pPr>
                          <w:jc w:val="right"/>
                          <w:rPr>
                            <w:rFonts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spacing w:val="-1"/>
                            <w:sz w:val="21"/>
                            <w:szCs w:val="21"/>
                          </w:rPr>
                          <w:t>к распоряжению</w:t>
                        </w:r>
                      </w:p>
                      <w:p w:rsidR="003B73F0" w:rsidRDefault="00B209AE">
                        <w:pPr>
                          <w:jc w:val="right"/>
                          <w:rPr>
                            <w:rFonts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sz w:val="21"/>
                            <w:szCs w:val="21"/>
                          </w:rPr>
                          <w:t xml:space="preserve">Администрации </w:t>
                        </w:r>
                      </w:p>
                      <w:p w:rsidR="00B209AE" w:rsidRPr="003B73F0" w:rsidRDefault="003B73F0" w:rsidP="003B73F0">
                        <w:pPr>
                          <w:jc w:val="center"/>
                          <w:rPr>
                            <w:rFonts w:eastAsia="Calibri"/>
                            <w:spacing w:val="-6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Calibri"/>
                            <w:spacing w:val="-6"/>
                            <w:sz w:val="21"/>
                            <w:szCs w:val="21"/>
                          </w:rPr>
                          <w:t xml:space="preserve">                        </w:t>
                        </w:r>
                        <w:r w:rsidR="00B209AE">
                          <w:rPr>
                            <w:rFonts w:eastAsia="Calibri"/>
                            <w:spacing w:val="-6"/>
                            <w:sz w:val="21"/>
                            <w:szCs w:val="21"/>
                          </w:rPr>
                          <w:t>Калининского</w:t>
                        </w:r>
                        <w:r>
                          <w:rPr>
                            <w:rFonts w:eastAsia="Calibri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="00B209AE">
                          <w:rPr>
                            <w:rFonts w:eastAsia="Calibri"/>
                            <w:spacing w:val="-6"/>
                            <w:sz w:val="21"/>
                            <w:szCs w:val="21"/>
                          </w:rPr>
                          <w:t>сельского поселения</w:t>
                        </w:r>
                      </w:p>
                      <w:p w:rsidR="00B209AE" w:rsidRDefault="00B209AE">
                        <w:pPr>
                          <w:jc w:val="right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  <w:spacing w:val="-6"/>
                            <w:sz w:val="22"/>
                            <w:szCs w:val="22"/>
                          </w:rPr>
                          <w:t>от 1</w:t>
                        </w:r>
                        <w:r w:rsidR="003B73F0">
                          <w:rPr>
                            <w:rFonts w:eastAsia="Calibri"/>
                            <w:spacing w:val="-6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eastAsia="Calibri"/>
                            <w:spacing w:val="-6"/>
                            <w:sz w:val="22"/>
                            <w:szCs w:val="22"/>
                          </w:rPr>
                          <w:t>.04.2017 № 1</w:t>
                        </w:r>
                        <w:r w:rsidR="00B2495E">
                          <w:rPr>
                            <w:rFonts w:eastAsia="Calibri"/>
                            <w:spacing w:val="-6"/>
                            <w:sz w:val="22"/>
                            <w:szCs w:val="22"/>
                          </w:rPr>
                          <w:t>4</w:t>
                        </w:r>
                      </w:p>
                      <w:p w:rsidR="00B209AE" w:rsidRDefault="00B209AE">
                        <w:pPr>
                          <w:jc w:val="right"/>
                          <w:rPr>
                            <w:rFonts w:eastAsia="Calibri"/>
                          </w:rPr>
                        </w:pPr>
                      </w:p>
                    </w:tc>
                  </w:tr>
                </w:tbl>
                <w:p w:rsidR="00B209AE" w:rsidRDefault="00B209AE" w:rsidP="00B209AE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B209AE" w:rsidRDefault="00B209AE" w:rsidP="00B209AE">
      <w:pPr>
        <w:jc w:val="both"/>
        <w:rPr>
          <w:i/>
          <w:sz w:val="18"/>
          <w:szCs w:val="18"/>
        </w:rPr>
      </w:pPr>
    </w:p>
    <w:p w:rsidR="00B209AE" w:rsidRDefault="00B209AE" w:rsidP="00B209AE">
      <w:pPr>
        <w:jc w:val="both"/>
        <w:rPr>
          <w:i/>
          <w:sz w:val="18"/>
          <w:szCs w:val="18"/>
        </w:rPr>
      </w:pPr>
    </w:p>
    <w:p w:rsidR="00B209AE" w:rsidRDefault="003B73F0" w:rsidP="00B209AE">
      <w:pPr>
        <w:pStyle w:val="afb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kern w:val="0"/>
          <w:sz w:val="18"/>
          <w:szCs w:val="18"/>
        </w:rPr>
        <w:t xml:space="preserve">                                                                                     </w:t>
      </w:r>
      <w:r w:rsidR="00B209AE">
        <w:rPr>
          <w:rFonts w:ascii="Times New Roman" w:hAnsi="Times New Roman" w:cs="Times New Roman"/>
          <w:b w:val="0"/>
          <w:bCs w:val="0"/>
          <w:i/>
          <w:kern w:val="0"/>
          <w:sz w:val="18"/>
          <w:szCs w:val="18"/>
        </w:rPr>
        <w:t xml:space="preserve">    </w:t>
      </w:r>
      <w:r w:rsidR="00B209AE">
        <w:rPr>
          <w:rFonts w:ascii="Times New Roman" w:hAnsi="Times New Roman" w:cs="Times New Roman"/>
          <w:sz w:val="24"/>
          <w:szCs w:val="24"/>
        </w:rPr>
        <w:t xml:space="preserve">Инструкция </w:t>
      </w:r>
    </w:p>
    <w:p w:rsidR="00B209AE" w:rsidRDefault="00B209AE" w:rsidP="00B209AE">
      <w:pPr>
        <w:pStyle w:val="afb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в Администрации Калининского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</w:p>
    <w:p w:rsidR="00B209AE" w:rsidRDefault="00B209AE" w:rsidP="00B209AE">
      <w:pPr>
        <w:pStyle w:val="afb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определения соответствия гражданина Российской Федерации </w:t>
      </w:r>
    </w:p>
    <w:p w:rsidR="00B209AE" w:rsidRDefault="00B209AE" w:rsidP="00B209AE">
      <w:pPr>
        <w:pStyle w:val="afb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базовым квалификационным требованиям </w:t>
      </w:r>
    </w:p>
    <w:p w:rsidR="00B209AE" w:rsidRDefault="00B209AE" w:rsidP="00B209AE">
      <w:pPr>
        <w:pStyle w:val="afb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209AE" w:rsidRDefault="00B209AE" w:rsidP="00B209AE">
      <w:pPr>
        <w:pStyle w:val="afb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Общие положения</w:t>
      </w:r>
    </w:p>
    <w:p w:rsidR="00B209AE" w:rsidRDefault="00B209AE" w:rsidP="00B209AE">
      <w:pPr>
        <w:pStyle w:val="afb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Тестирование проводится в отношении:</w:t>
      </w:r>
    </w:p>
    <w:p w:rsidR="00B209AE" w:rsidRDefault="00B209AE" w:rsidP="00B209AE">
      <w:pPr>
        <w:pStyle w:val="ae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граждан, поступающих на муниципальную службу, по результатам конкурса;</w:t>
      </w:r>
    </w:p>
    <w:p w:rsidR="00B209AE" w:rsidRDefault="00B209AE" w:rsidP="00B209AE">
      <w:pPr>
        <w:pStyle w:val="ae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граждан, поступающих на муниципальную службу, без проведения конкурса.</w:t>
      </w:r>
    </w:p>
    <w:p w:rsidR="00B209AE" w:rsidRDefault="00B209AE" w:rsidP="00B209AE">
      <w:pPr>
        <w:pStyle w:val="afb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Целью тестирования является выявление уровня знаний у граждан, претендующих на замещение вакантных должностей муниципальной службы (далее – претенденты), для дальнейшего принятия решения в рамках заседания конкурсной комиссии или рассмотрения вопроса о назначении на должность муниципальной службы без проведения конкурса на замещение вакантной должности муниципальной службы. </w:t>
      </w:r>
    </w:p>
    <w:p w:rsidR="00B209AE" w:rsidRDefault="00B209AE" w:rsidP="00B209AE">
      <w:pPr>
        <w:pStyle w:val="afb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 органом местного самоуправления, в том числе с использованием тестовых вопросов, сформированных Минтрудом России.</w:t>
      </w:r>
    </w:p>
    <w:p w:rsidR="00B209AE" w:rsidRDefault="00B209AE" w:rsidP="00B209AE">
      <w:pPr>
        <w:pStyle w:val="afb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Возможность прохождения индивидуального теста в целях самопроверки обеспечена Минтрудом России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 w:val="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gossluzhba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), в связи с чем</w:t>
      </w:r>
      <w:r w:rsidR="003B73F0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рекомендуется заранее уведомить об этом претендентов.</w:t>
      </w:r>
    </w:p>
    <w:p w:rsidR="00B209AE" w:rsidRDefault="00B209AE" w:rsidP="00B209AE">
      <w:pPr>
        <w:pStyle w:val="afb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На основе тестовых вопросов, содержащихся в базе тестовых вопросов, сформированной органом местного самоуправления, формируются индивидуальные тесты.</w:t>
      </w:r>
    </w:p>
    <w:p w:rsidR="00B209AE" w:rsidRDefault="00B209AE" w:rsidP="00B209AE">
      <w:pPr>
        <w:pStyle w:val="afb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Типовой тест на соответствие базовым квалификационным требованиям размещен на официальном сайте Минтруда России http://www.rosmintrud.ru/ministry/programms/gossluzhba/16/2).</w:t>
      </w:r>
    </w:p>
    <w:p w:rsidR="00B209AE" w:rsidRDefault="00B209AE" w:rsidP="00B209AE">
      <w:pPr>
        <w:pStyle w:val="afb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Количество тестовых вопросов в индивидуальном тесте составляет 40, включая восемь тестовых вопросов по каждому из следующих блоков тестовых вопросов: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знание государственного языка Российской Федерации – русского языка;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знание Конституции Российской Федерации и основ конституционного устройства Российской Федерации;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знание законодательства о муниципальной службе;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знание законодательства Российской Федерации о противодействии коррупции;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знания в области информационно-коммуникационных технологий.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7. Время, отведенное на прохождение тестирования, составляет 40 минут</w:t>
      </w:r>
      <w:r>
        <w:rPr>
          <w:color w:val="FF0000"/>
          <w:sz w:val="24"/>
          <w:szCs w:val="24"/>
        </w:rPr>
        <w:t>.</w:t>
      </w:r>
    </w:p>
    <w:p w:rsidR="00B209AE" w:rsidRDefault="00B209AE" w:rsidP="00B209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дате, времени и месте проведения тестирования рекомендуется известить претендентов заранее.</w:t>
      </w:r>
    </w:p>
    <w:p w:rsidR="00B209AE" w:rsidRDefault="00B209AE" w:rsidP="00B209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09AE" w:rsidRDefault="00B209AE" w:rsidP="00B20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Подготовка к проведению тестирования</w:t>
      </w:r>
    </w:p>
    <w:p w:rsidR="00B209AE" w:rsidRDefault="00B209AE" w:rsidP="00B20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09AE" w:rsidRDefault="00B209AE" w:rsidP="00B209A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Допуск претендентов к тестированию предлагается осуществлять по документам, удостоверяющим их личность. 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10. В аудиториях для проведения тестирования рекомендуется обеспечить следующие условия: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подготовить часы, находящиеся в поле зрения лиц, присутствующих в аудиториях;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подготовить места для непосредственного прохождения тестирования и для личных вещей претендентов (далее – лица, участвующие в тестировании);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создать условия, учитывающие состояние здоровья, особенности психофизического развития и индивидуальных возможностей лиц, проходящих тестирование, с ограниченными возможностями здоровья и инвалидов в случае их участия в тестировании.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11. Количество, общую площадь и состояние аудиторий, предоставляемых для проведения тестирования, рекомендуется определять с учетом обеспечения его проведения в условиях, соответствующих требованиям санитарно-эпидемиологических правил и нормативов. Количество аудиторий предлагается определять исходя из общей численности лиц, участвующих в тестировании, и вместимости аудиторий. Количество аудиторий должно формироваться с учетом наполнения аудиторий, обеспечивающего комфортные условия для прохождения тестирования (не более пятнадцати человек в аудитории).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Перед проведением тестирования лица размещаются в аудиториях в соответствии с предварительно определенным порядком. 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Каждый тестируемый обеспечивается отдельным рабочим местом, оборудованным компьютерной техникой, позволяющей формировать и доводить до каждого тестируемого индивидуальный набор тестов в режиме реального времени. 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14. На время проведения тестирования лицам рекомендуется запретить:</w:t>
      </w:r>
    </w:p>
    <w:p w:rsidR="00B209AE" w:rsidRDefault="00B209AE" w:rsidP="00B209A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также выносить из аудиторий материалы, содержащие информацию, полученную в ходе тестирования, на бумажном или электронном носителях. </w:t>
      </w:r>
      <w:proofErr w:type="gramEnd"/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разговаривать между собой;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обмениваться любыми материалами и предметами между собой;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- выходить из аудитории без сопровождающего и перемещаться по ней.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лицом,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B209AE" w:rsidRDefault="00B209AE" w:rsidP="00B209AE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по состоянию здоровья или другим объективным причинам лицо, участвующее в тестировании, не может завершить выполнение теста, оно имеет право досрочно покинуть аудиторию. Для указанных лиц назначается время для повторного испытания не позднее двух недель со дня проведения тестирования.</w:t>
      </w:r>
    </w:p>
    <w:p w:rsidR="00B209AE" w:rsidRDefault="00B209AE" w:rsidP="00B209AE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 случае неявки претендента на тестирование в связи с временной нетрудоспособностью, подтвержденной в установленном порядке, или по иным объективным причинам для указанного лица назначается время проведения тестирования в указанный срок или в течение трех дней после окончания периода временной нетрудоспособности.</w:t>
      </w: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Проведение тестирования</w:t>
      </w: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</w:p>
    <w:p w:rsidR="00B209AE" w:rsidRDefault="00B209AE" w:rsidP="00B209AE">
      <w:pPr>
        <w:pStyle w:val="afb"/>
        <w:widowControl/>
        <w:numPr>
          <w:ilvl w:val="0"/>
          <w:numId w:val="6"/>
        </w:numPr>
        <w:autoSpaceDE/>
        <w:spacing w:before="0" w:after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Тестирование предлагается осуществлять в форме компьютерного тестирования. 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 проведения тестирования рекомендуется запретить оказывать содействие лицам,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Тестируемым следует соблюдать порядок проведения тестирования и следовать указаниям организаторов в аудитории, а организаторам – обеспечивать порядок проведения тестирования.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Перед началом проведения тестирования проводится инструктаж о порядке заполнения теста в компьютерной программе, предоставляются разъяснения по критериям подведения итогов тестирования и информация о запретах при проведении тестирования, а также дате и месте получения справки с итогами тестирования, за исключением случая, если она выдается непосредственно после окончания тестирования.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аудитории, в которой проводится тестирование, допускается присутствие только лиц, проходящих тестирование, организаторов, включая специалистов, осуществляющих техническое обслуживание компьютерной техники.</w:t>
      </w:r>
    </w:p>
    <w:p w:rsidR="00B209AE" w:rsidRDefault="00B209AE" w:rsidP="00B209AE">
      <w:pPr>
        <w:pStyle w:val="ae"/>
        <w:widowControl/>
        <w:jc w:val="both"/>
        <w:rPr>
          <w:sz w:val="24"/>
          <w:szCs w:val="24"/>
        </w:rPr>
      </w:pPr>
    </w:p>
    <w:p w:rsidR="00B209AE" w:rsidRDefault="00B209AE" w:rsidP="00B209AE">
      <w:pPr>
        <w:pStyle w:val="ae"/>
        <w:widowControl/>
        <w:jc w:val="both"/>
        <w:rPr>
          <w:sz w:val="24"/>
          <w:szCs w:val="24"/>
        </w:rPr>
      </w:pPr>
    </w:p>
    <w:p w:rsidR="00B209AE" w:rsidRDefault="00B209AE" w:rsidP="00B209AE">
      <w:pPr>
        <w:pStyle w:val="ae"/>
        <w:widowControl/>
        <w:jc w:val="both"/>
        <w:rPr>
          <w:sz w:val="24"/>
          <w:szCs w:val="24"/>
        </w:rPr>
      </w:pPr>
    </w:p>
    <w:p w:rsidR="00B209AE" w:rsidRDefault="00B209AE" w:rsidP="00B209AE">
      <w:pPr>
        <w:pStyle w:val="ae"/>
        <w:widowControl/>
        <w:jc w:val="both"/>
        <w:rPr>
          <w:sz w:val="24"/>
          <w:szCs w:val="24"/>
        </w:rPr>
      </w:pP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Особенности проведения тестирования на бумажных носителях</w:t>
      </w: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</w:p>
    <w:p w:rsidR="00B209AE" w:rsidRDefault="00B209AE" w:rsidP="00B209AE">
      <w:pPr>
        <w:pStyle w:val="afb"/>
        <w:widowControl/>
        <w:numPr>
          <w:ilvl w:val="0"/>
          <w:numId w:val="6"/>
        </w:numPr>
        <w:autoSpaceDE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если проведение компьютерного тестирования не представляется возможным ввиду отсутствия компьютерной техники или по иным объективным причинам, тестирование может быть проведено в письменном виде на бумажных носителях.</w:t>
      </w:r>
    </w:p>
    <w:p w:rsidR="00B209AE" w:rsidRDefault="00B209AE" w:rsidP="00B209AE">
      <w:pPr>
        <w:pStyle w:val="afb"/>
        <w:widowControl/>
        <w:numPr>
          <w:ilvl w:val="0"/>
          <w:numId w:val="6"/>
        </w:numPr>
        <w:autoSpaceDE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аудиториях для проведения тестирования рекомендуется обеспечить следующие условия – организовать места для хранения тестовых заданий с ограниченным для лиц, участвующих в тестировании, доступом.</w:t>
      </w:r>
    </w:p>
    <w:p w:rsidR="00B209AE" w:rsidRDefault="00B209AE" w:rsidP="00B209AE">
      <w:pPr>
        <w:pStyle w:val="afb"/>
        <w:widowControl/>
        <w:numPr>
          <w:ilvl w:val="0"/>
          <w:numId w:val="6"/>
        </w:numPr>
        <w:autoSpaceDE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Индивидуальные тесты на бумажных носителях нумеруются.</w:t>
      </w:r>
    </w:p>
    <w:p w:rsidR="00B209AE" w:rsidRDefault="00B209AE" w:rsidP="00B209AE">
      <w:pPr>
        <w:pStyle w:val="ConsPlusNormal"/>
        <w:widowControl/>
        <w:numPr>
          <w:ilvl w:val="0"/>
          <w:numId w:val="6"/>
        </w:numPr>
        <w:suppressAutoHyphens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проведения тестирования раздаются индивидуальные тесты с инструкцией и иными необходимыми материалами, фиксируется информация о лицах, которым выданы конкретные индивидуальные тесты по номерам, 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 массовой сдаче завершенных индивидуальных тестов не допускается создание толпы у стола лица, принимающего указанные тесты.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b/>
          <w:i/>
          <w:sz w:val="24"/>
          <w:szCs w:val="24"/>
          <w:shd w:val="clear" w:color="auto" w:fill="C0C0C0"/>
        </w:rPr>
      </w:pPr>
      <w:r>
        <w:rPr>
          <w:sz w:val="24"/>
          <w:szCs w:val="24"/>
        </w:rPr>
        <w:t xml:space="preserve">Принимая тесты, указанное лицо должно проверить соответствие номера индивидуального теста, который сдается, с номером теста, выданного лицу. </w:t>
      </w:r>
    </w:p>
    <w:p w:rsidR="00B209AE" w:rsidRDefault="00B209AE" w:rsidP="00B209AE">
      <w:pPr>
        <w:rPr>
          <w:b/>
          <w:i/>
          <w:sz w:val="24"/>
          <w:szCs w:val="24"/>
          <w:shd w:val="clear" w:color="auto" w:fill="C0C0C0"/>
        </w:rPr>
      </w:pP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Подведение итогов тестирования</w:t>
      </w:r>
    </w:p>
    <w:p w:rsidR="00B209AE" w:rsidRDefault="00B209AE" w:rsidP="00B209AE">
      <w:pPr>
        <w:pStyle w:val="ae"/>
        <w:ind w:left="0"/>
        <w:jc w:val="center"/>
        <w:rPr>
          <w:b/>
          <w:i/>
          <w:sz w:val="24"/>
          <w:szCs w:val="24"/>
        </w:rPr>
      </w:pP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правильный ответ на каждый тестовый вопрос предлагается присваивать 1 балл. 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Не сдавшим тестирование предлагается признавать лицо, ответившее правильно менее чем на 20 тестовых вопросов и набравшее соответственно менее 20 баллов.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Лицам, прошедшим тестирование, рекомендуется сообщить о результатах непосредственно в день его проведения или не позднее двухнедельного срока после его проведения.</w:t>
      </w:r>
    </w:p>
    <w:p w:rsidR="00B209AE" w:rsidRDefault="00B209AE" w:rsidP="00B209AE">
      <w:pPr>
        <w:pStyle w:val="ae"/>
        <w:widowControl/>
        <w:numPr>
          <w:ilvl w:val="0"/>
          <w:numId w:val="6"/>
        </w:numPr>
        <w:suppressAutoHyphens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 итогам тестирования формируется список претендентов с количеством набранных баллов.</w:t>
      </w:r>
    </w:p>
    <w:p w:rsidR="00B209AE" w:rsidRDefault="00B209AE" w:rsidP="00B209AE">
      <w:pPr>
        <w:rPr>
          <w:sz w:val="24"/>
          <w:szCs w:val="24"/>
        </w:rPr>
      </w:pPr>
    </w:p>
    <w:p w:rsidR="00B209AE" w:rsidRDefault="00B209AE" w:rsidP="00B209AE">
      <w:pPr>
        <w:rPr>
          <w:sz w:val="24"/>
          <w:szCs w:val="24"/>
        </w:rPr>
      </w:pPr>
    </w:p>
    <w:p w:rsidR="00B209AE" w:rsidRDefault="00B209AE" w:rsidP="00B209AE"/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8755F"/>
    <w:rsid w:val="001B5B8C"/>
    <w:rsid w:val="00233F9E"/>
    <w:rsid w:val="002D388B"/>
    <w:rsid w:val="00306FF0"/>
    <w:rsid w:val="00331C3B"/>
    <w:rsid w:val="003647CE"/>
    <w:rsid w:val="003B73F0"/>
    <w:rsid w:val="003F3A66"/>
    <w:rsid w:val="004C6173"/>
    <w:rsid w:val="00652F2C"/>
    <w:rsid w:val="00655945"/>
    <w:rsid w:val="00675151"/>
    <w:rsid w:val="006870EC"/>
    <w:rsid w:val="006A70DD"/>
    <w:rsid w:val="006B00D7"/>
    <w:rsid w:val="00705799"/>
    <w:rsid w:val="0073669C"/>
    <w:rsid w:val="00761BAD"/>
    <w:rsid w:val="007660E8"/>
    <w:rsid w:val="0082604E"/>
    <w:rsid w:val="008574B1"/>
    <w:rsid w:val="00865676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C458E6"/>
    <w:rsid w:val="00DF4FC8"/>
    <w:rsid w:val="00E22C58"/>
    <w:rsid w:val="00EB6055"/>
    <w:rsid w:val="00E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uiPriority w:val="99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2017-05-03T13:11:00Z</cp:lastPrinted>
  <dcterms:created xsi:type="dcterms:W3CDTF">2017-04-12T10:54:00Z</dcterms:created>
  <dcterms:modified xsi:type="dcterms:W3CDTF">2017-10-23T06:34:00Z</dcterms:modified>
</cp:coreProperties>
</file>